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BCC52" w14:textId="77777777" w:rsidR="004E217A" w:rsidRDefault="004E217A" w:rsidP="004E217A">
      <w:pPr>
        <w:autoSpaceDE w:val="0"/>
        <w:autoSpaceDN w:val="0"/>
        <w:adjustRightInd w:val="0"/>
        <w:spacing w:after="0" w:line="240" w:lineRule="auto"/>
        <w:rPr>
          <w:rFonts w:ascii="Sylfaen" w:hAnsi="Sylfaen"/>
          <w:color w:val="212121"/>
          <w:lang w:eastAsia="en-GB"/>
        </w:rPr>
      </w:pPr>
      <w:bookmarkStart w:id="0" w:name="_GoBack"/>
      <w:bookmarkEnd w:id="0"/>
      <w:r>
        <w:rPr>
          <w:rFonts w:ascii="Sylfaen" w:hAnsi="Sylfaen"/>
          <w:color w:val="212121"/>
          <w:u w:val="single"/>
          <w:lang w:eastAsia="en-GB"/>
        </w:rPr>
        <w:t>DRG-related performance monitoring system</w:t>
      </w:r>
      <w:r>
        <w:rPr>
          <w:rFonts w:ascii="Sylfaen" w:hAnsi="Sylfaen"/>
          <w:color w:val="212121"/>
          <w:lang w:eastAsia="en-GB"/>
        </w:rPr>
        <w:t xml:space="preserve"> </w:t>
      </w:r>
    </w:p>
    <w:p w14:paraId="413A2CD2" w14:textId="77777777" w:rsidR="004E217A" w:rsidRDefault="004E217A" w:rsidP="004E217A">
      <w:pPr>
        <w:autoSpaceDE w:val="0"/>
        <w:autoSpaceDN w:val="0"/>
        <w:adjustRightInd w:val="0"/>
        <w:spacing w:after="0" w:line="240" w:lineRule="auto"/>
        <w:rPr>
          <w:rFonts w:ascii="Sylfaen" w:hAnsi="Sylfaen"/>
          <w:color w:val="212121"/>
          <w:lang w:eastAsia="en-GB"/>
        </w:rPr>
      </w:pPr>
    </w:p>
    <w:p w14:paraId="6FD6559E" w14:textId="77777777" w:rsidR="004E217A" w:rsidRPr="00DD5EBA" w:rsidRDefault="004E217A" w:rsidP="004E21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main objectives of the DRG-related monitoring system could be: </w:t>
      </w:r>
    </w:p>
    <w:p w14:paraId="0C9F8CBB"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clinical variations;</w:t>
      </w:r>
    </w:p>
    <w:p w14:paraId="5FE69F00"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coding issues;</w:t>
      </w:r>
    </w:p>
    <w:p w14:paraId="2D6E9E44"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use of information to improve performance;</w:t>
      </w:r>
    </w:p>
    <w:p w14:paraId="07BA5353"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iCs/>
          <w:color w:val="000000"/>
          <w:sz w:val="24"/>
          <w:szCs w:val="24"/>
        </w:rPr>
      </w:pPr>
      <w:r w:rsidRPr="00DD5EBA">
        <w:rPr>
          <w:rFonts w:ascii="Times New Roman" w:hAnsi="Times New Roman" w:cs="Times New Roman"/>
          <w:color w:val="000000"/>
          <w:sz w:val="24"/>
          <w:szCs w:val="24"/>
        </w:rPr>
        <w:t>raise providers’ awareness during DRG implementation period.</w:t>
      </w:r>
    </w:p>
    <w:p w14:paraId="121B489C" w14:textId="77777777"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p w14:paraId="04852617" w14:textId="77777777" w:rsidR="00D65217" w:rsidRPr="001E7FFA" w:rsidRDefault="00D65217" w:rsidP="001E7FFA">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b/>
          <w:color w:val="000000"/>
          <w:sz w:val="24"/>
          <w:szCs w:val="24"/>
        </w:rPr>
      </w:pPr>
      <w:r w:rsidRPr="001E7FFA">
        <w:rPr>
          <w:rFonts w:ascii="Times New Roman" w:hAnsi="Times New Roman" w:cs="Times New Roman"/>
          <w:b/>
          <w:color w:val="000000"/>
          <w:sz w:val="24"/>
          <w:szCs w:val="24"/>
        </w:rPr>
        <w:t>Feedback and comments:</w:t>
      </w:r>
    </w:p>
    <w:p w14:paraId="7EB2D588" w14:textId="5DEDABD4" w:rsidR="00D65217" w:rsidRPr="001E7FFA"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sidRPr="001E7FFA">
        <w:rPr>
          <w:rFonts w:ascii="Times New Roman" w:hAnsi="Times New Roman" w:cs="Times New Roman"/>
          <w:color w:val="000000"/>
          <w:sz w:val="24"/>
          <w:szCs w:val="24"/>
        </w:rPr>
        <w:t xml:space="preserve">During the DRG implementation period at least </w:t>
      </w:r>
      <w:r w:rsidR="00A833E1" w:rsidRPr="001E7FFA">
        <w:rPr>
          <w:rFonts w:ascii="Times New Roman" w:hAnsi="Times New Roman" w:cs="Times New Roman"/>
          <w:color w:val="000000"/>
          <w:sz w:val="24"/>
          <w:szCs w:val="24"/>
        </w:rPr>
        <w:t>2 phases:</w:t>
      </w:r>
      <w:r w:rsidR="001E7FFA">
        <w:rPr>
          <w:rFonts w:ascii="Times New Roman" w:hAnsi="Times New Roman" w:cs="Times New Roman"/>
          <w:color w:val="000000"/>
          <w:sz w:val="24"/>
          <w:szCs w:val="24"/>
        </w:rPr>
        <w:t xml:space="preserve"> (1) </w:t>
      </w:r>
      <w:r w:rsidR="00A833E1" w:rsidRPr="001E7FFA">
        <w:rPr>
          <w:rFonts w:ascii="Times New Roman" w:hAnsi="Times New Roman" w:cs="Times New Roman"/>
          <w:color w:val="000000"/>
          <w:sz w:val="24"/>
          <w:szCs w:val="24"/>
        </w:rPr>
        <w:t xml:space="preserve">Year 2018 </w:t>
      </w:r>
      <w:r w:rsidRPr="001E7FFA">
        <w:rPr>
          <w:rFonts w:ascii="Times New Roman" w:hAnsi="Times New Roman" w:cs="Times New Roman"/>
          <w:color w:val="000000"/>
          <w:sz w:val="24"/>
          <w:szCs w:val="24"/>
        </w:rPr>
        <w:t xml:space="preserve">based on few key </w:t>
      </w:r>
      <w:r w:rsidR="00A833E1" w:rsidRPr="001E7FFA">
        <w:rPr>
          <w:rFonts w:ascii="Times New Roman" w:hAnsi="Times New Roman" w:cs="Times New Roman"/>
          <w:color w:val="000000"/>
          <w:sz w:val="24"/>
          <w:szCs w:val="24"/>
        </w:rPr>
        <w:t>indicators</w:t>
      </w:r>
      <w:r w:rsidRPr="001E7FFA">
        <w:rPr>
          <w:rFonts w:ascii="Times New Roman" w:hAnsi="Times New Roman" w:cs="Times New Roman"/>
          <w:color w:val="000000"/>
          <w:sz w:val="24"/>
          <w:szCs w:val="24"/>
        </w:rPr>
        <w:t xml:space="preserve"> for providers’ feedback</w:t>
      </w:r>
      <w:r w:rsidR="001E7FFA">
        <w:rPr>
          <w:rFonts w:ascii="Times New Roman" w:hAnsi="Times New Roman" w:cs="Times New Roman"/>
          <w:color w:val="000000"/>
          <w:sz w:val="24"/>
          <w:szCs w:val="24"/>
        </w:rPr>
        <w:t xml:space="preserve">; (2) </w:t>
      </w:r>
      <w:r w:rsidR="00A833E1" w:rsidRPr="001E7FFA">
        <w:rPr>
          <w:rFonts w:ascii="Times New Roman" w:hAnsi="Times New Roman" w:cs="Times New Roman"/>
          <w:color w:val="000000"/>
          <w:sz w:val="24"/>
          <w:szCs w:val="24"/>
        </w:rPr>
        <w:t>Year 2019 by adding additional indicators step by step (continuous process after implementation process)</w:t>
      </w:r>
    </w:p>
    <w:p w14:paraId="47A57DF6" w14:textId="20CE50C5" w:rsidR="00A833E1" w:rsidRP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7E093B" w:rsidRPr="001E7FFA">
        <w:rPr>
          <w:rFonts w:ascii="Times New Roman" w:hAnsi="Times New Roman" w:cs="Times New Roman"/>
          <w:color w:val="000000"/>
          <w:sz w:val="24"/>
          <w:szCs w:val="24"/>
        </w:rPr>
        <w:t>nternal analysis should c</w:t>
      </w:r>
      <w:r w:rsidRPr="00D65217">
        <w:rPr>
          <w:rFonts w:ascii="Times New Roman" w:hAnsi="Times New Roman" w:cs="Times New Roman"/>
          <w:color w:val="000000"/>
          <w:sz w:val="24"/>
          <w:szCs w:val="24"/>
        </w:rPr>
        <w:t>over broader set of indicators already during 2018</w:t>
      </w:r>
    </w:p>
    <w:p w14:paraId="19E5D2A2" w14:textId="3AD3423B"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First priority: define the format for the 1</w:t>
      </w:r>
      <w:r w:rsidRPr="001E7FFA">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feedback report for providers: which period covers (e.g. 1</w:t>
      </w:r>
      <w:r w:rsidRPr="001E7FFA">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quarter of 2018), which indicators (e.g. all hospital inpatient cases by DRGs, number of cases by each DRG, ALOSs by each DRG, average cost by each DRG</w:t>
      </w:r>
      <w:r w:rsidR="00126B88">
        <w:rPr>
          <w:rFonts w:ascii="Times New Roman" w:hAnsi="Times New Roman" w:cs="Times New Roman"/>
          <w:color w:val="000000"/>
          <w:sz w:val="24"/>
          <w:szCs w:val="24"/>
        </w:rPr>
        <w:t>, error DRGs</w:t>
      </w:r>
      <w:r>
        <w:rPr>
          <w:rFonts w:ascii="Times New Roman" w:hAnsi="Times New Roman" w:cs="Times New Roman"/>
          <w:color w:val="000000"/>
          <w:sz w:val="24"/>
          <w:szCs w:val="24"/>
        </w:rPr>
        <w:t>,</w:t>
      </w:r>
      <w:r w:rsidR="00763E7E">
        <w:rPr>
          <w:rFonts w:ascii="Times New Roman" w:hAnsi="Times New Roman" w:cs="Times New Roman"/>
          <w:color w:val="000000"/>
          <w:sz w:val="24"/>
          <w:szCs w:val="24"/>
        </w:rPr>
        <w:t xml:space="preserve"> </w:t>
      </w:r>
      <w:r w:rsidR="00763E7E">
        <w:rPr>
          <w:color w:val="000000"/>
        </w:rPr>
        <w:t>cases with rare diagnosis-procedure combination</w:t>
      </w:r>
      <w:r>
        <w:rPr>
          <w:rFonts w:ascii="Times New Roman" w:hAnsi="Times New Roman" w:cs="Times New Roman"/>
          <w:color w:val="000000"/>
          <w:sz w:val="24"/>
          <w:szCs w:val="24"/>
        </w:rPr>
        <w:t xml:space="preserve"> …); in which format it will be given to providers (</w:t>
      </w:r>
      <w:proofErr w:type="spellStart"/>
      <w:r>
        <w:rPr>
          <w:rFonts w:ascii="Times New Roman" w:hAnsi="Times New Roman" w:cs="Times New Roman"/>
          <w:color w:val="000000"/>
          <w:sz w:val="24"/>
          <w:szCs w:val="24"/>
        </w:rPr>
        <w:t>xls</w:t>
      </w:r>
      <w:proofErr w:type="spellEnd"/>
      <w:r>
        <w:rPr>
          <w:rFonts w:ascii="Times New Roman" w:hAnsi="Times New Roman" w:cs="Times New Roman"/>
          <w:color w:val="000000"/>
          <w:sz w:val="24"/>
          <w:szCs w:val="24"/>
        </w:rPr>
        <w:t xml:space="preserve"> with guidance notes?); if comparison with Georgian average will be provided; </w:t>
      </w:r>
      <w:proofErr w:type="spellStart"/>
      <w:r>
        <w:rPr>
          <w:rFonts w:ascii="Times New Roman" w:hAnsi="Times New Roman" w:cs="Times New Roman"/>
          <w:color w:val="000000"/>
          <w:sz w:val="24"/>
          <w:szCs w:val="24"/>
        </w:rPr>
        <w:t>etc</w:t>
      </w:r>
      <w:proofErr w:type="spellEnd"/>
    </w:p>
    <w:p w14:paraId="06A5CE38" w14:textId="31FC98E1"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Start preparing indicators descriptions (passports), start with priority indicators</w:t>
      </w:r>
    </w:p>
    <w:p w14:paraId="4281AC81" w14:textId="366511F2" w:rsidR="00126B88" w:rsidRDefault="00126B88"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Start developing more automatized way to create the reports with indicators in order to reduce the manual work (</w:t>
      </w:r>
      <w:proofErr w:type="spellStart"/>
      <w:r>
        <w:rPr>
          <w:rFonts w:ascii="Times New Roman" w:hAnsi="Times New Roman" w:cs="Times New Roman"/>
          <w:color w:val="000000"/>
          <w:sz w:val="24"/>
          <w:szCs w:val="24"/>
        </w:rPr>
        <w:t>incl</w:t>
      </w:r>
      <w:proofErr w:type="spellEnd"/>
      <w:r>
        <w:rPr>
          <w:rFonts w:ascii="Times New Roman" w:hAnsi="Times New Roman" w:cs="Times New Roman"/>
          <w:color w:val="000000"/>
          <w:sz w:val="24"/>
          <w:szCs w:val="24"/>
        </w:rPr>
        <w:t xml:space="preserve"> to reduce the mistakes) </w:t>
      </w:r>
    </w:p>
    <w:p w14:paraId="0D69CEE3" w14:textId="3BD92B1C"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Align with communication </w:t>
      </w:r>
      <w:r w:rsidR="001E7FFA">
        <w:rPr>
          <w:rFonts w:ascii="Times New Roman" w:hAnsi="Times New Roman" w:cs="Times New Roman"/>
          <w:color w:val="000000"/>
          <w:sz w:val="24"/>
          <w:szCs w:val="24"/>
        </w:rPr>
        <w:t xml:space="preserve">activities </w:t>
      </w:r>
      <w:r>
        <w:rPr>
          <w:rFonts w:ascii="Times New Roman" w:hAnsi="Times New Roman" w:cs="Times New Roman"/>
          <w:color w:val="000000"/>
          <w:sz w:val="24"/>
          <w:szCs w:val="24"/>
        </w:rPr>
        <w:t xml:space="preserve">and </w:t>
      </w:r>
      <w:r w:rsidR="001E7FFA">
        <w:rPr>
          <w:rFonts w:ascii="Times New Roman" w:hAnsi="Times New Roman" w:cs="Times New Roman"/>
          <w:color w:val="000000"/>
          <w:sz w:val="24"/>
          <w:szCs w:val="24"/>
        </w:rPr>
        <w:t>training (good entry point to use feedback as an capacity building of providers)</w:t>
      </w:r>
    </w:p>
    <w:p w14:paraId="2827B7EE" w14:textId="16C7E35B" w:rsidR="00D65217" w:rsidRPr="001E7FFA"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Actual work starts when DRG grouper is available.</w:t>
      </w:r>
    </w:p>
    <w:p w14:paraId="69796055" w14:textId="77777777" w:rsidR="007715D3" w:rsidRDefault="007715D3" w:rsidP="001E7FFA">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p>
    <w:p w14:paraId="6E50F541" w14:textId="77777777" w:rsidR="00175C4E" w:rsidRDefault="00175C4E" w:rsidP="00DD5EBA">
      <w:pPr>
        <w:autoSpaceDE w:val="0"/>
        <w:autoSpaceDN w:val="0"/>
        <w:adjustRightInd w:val="0"/>
        <w:spacing w:after="0" w:line="240" w:lineRule="auto"/>
        <w:rPr>
          <w:rFonts w:ascii="Times New Roman" w:hAnsi="Times New Roman" w:cs="Times New Roman"/>
          <w:color w:val="000000"/>
          <w:sz w:val="24"/>
          <w:szCs w:val="24"/>
        </w:rPr>
      </w:pPr>
    </w:p>
    <w:p w14:paraId="3BD9688D" w14:textId="77777777" w:rsidR="00A833E1" w:rsidRDefault="00A833E1" w:rsidP="00DD5EBA">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392"/>
        <w:gridCol w:w="4819"/>
        <w:gridCol w:w="2694"/>
        <w:gridCol w:w="1984"/>
        <w:gridCol w:w="3686"/>
      </w:tblGrid>
      <w:tr w:rsidR="004E217A" w14:paraId="71109E8F" w14:textId="77777777" w:rsidTr="00C614C0">
        <w:tc>
          <w:tcPr>
            <w:tcW w:w="392" w:type="dxa"/>
          </w:tcPr>
          <w:p w14:paraId="650CD73C" w14:textId="77777777" w:rsidR="004E217A" w:rsidRDefault="004E217A"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819" w:type="dxa"/>
          </w:tcPr>
          <w:p w14:paraId="38AA0345"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Indicator</w:t>
            </w:r>
          </w:p>
        </w:tc>
        <w:tc>
          <w:tcPr>
            <w:tcW w:w="2694" w:type="dxa"/>
          </w:tcPr>
          <w:p w14:paraId="6D4C4C2D"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Source of data</w:t>
            </w:r>
          </w:p>
        </w:tc>
        <w:tc>
          <w:tcPr>
            <w:tcW w:w="1984" w:type="dxa"/>
          </w:tcPr>
          <w:p w14:paraId="23133995"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Frequency of reporting</w:t>
            </w:r>
          </w:p>
        </w:tc>
        <w:tc>
          <w:tcPr>
            <w:tcW w:w="3686" w:type="dxa"/>
          </w:tcPr>
          <w:p w14:paraId="3394DDE0" w14:textId="77777777" w:rsidR="004E217A" w:rsidRDefault="004E217A" w:rsidP="000D694B">
            <w:pPr>
              <w:autoSpaceDE w:val="0"/>
              <w:autoSpaceDN w:val="0"/>
              <w:adjustRightInd w:val="0"/>
              <w:rPr>
                <w:rFonts w:ascii="Times New Roman" w:hAnsi="Times New Roman" w:cs="Times New Roman"/>
                <w:color w:val="000000"/>
                <w:sz w:val="24"/>
                <w:szCs w:val="24"/>
              </w:rPr>
            </w:pPr>
            <w:r>
              <w:rPr>
                <w:rFonts w:ascii="Sylfaen" w:hAnsi="Sylfaen" w:cstheme="minorHAnsi"/>
                <w:b/>
                <w:sz w:val="20"/>
                <w:szCs w:val="20"/>
              </w:rPr>
              <w:t>C</w:t>
            </w:r>
            <w:r w:rsidRPr="008E5FC1">
              <w:rPr>
                <w:rFonts w:ascii="Sylfaen" w:hAnsi="Sylfaen" w:cstheme="minorHAnsi"/>
                <w:b/>
                <w:sz w:val="20"/>
                <w:szCs w:val="20"/>
              </w:rPr>
              <w:t>omments</w:t>
            </w:r>
          </w:p>
        </w:tc>
      </w:tr>
      <w:tr w:rsidR="004E217A" w14:paraId="51AB1C38" w14:textId="77777777" w:rsidTr="00C614C0">
        <w:tc>
          <w:tcPr>
            <w:tcW w:w="392" w:type="dxa"/>
          </w:tcPr>
          <w:p w14:paraId="259FB908"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7B8A1CBA" w14:textId="77777777" w:rsidR="004E217A" w:rsidRDefault="004E217A">
            <w:pPr>
              <w:rPr>
                <w:i/>
                <w:iCs/>
                <w:color w:val="000000"/>
                <w:sz w:val="24"/>
                <w:szCs w:val="24"/>
              </w:rPr>
            </w:pPr>
            <w:r>
              <w:rPr>
                <w:i/>
                <w:iCs/>
                <w:color w:val="000000"/>
              </w:rPr>
              <w:t>A.</w:t>
            </w:r>
            <w:r>
              <w:rPr>
                <w:rFonts w:ascii="Arial" w:hAnsi="Arial" w:cs="Arial"/>
                <w:i/>
                <w:iCs/>
                <w:color w:val="000000"/>
              </w:rPr>
              <w:t xml:space="preserve"> </w:t>
            </w:r>
            <w:r>
              <w:rPr>
                <w:i/>
                <w:iCs/>
                <w:color w:val="000000"/>
              </w:rPr>
              <w:t xml:space="preserve">Performance related indicators </w:t>
            </w:r>
          </w:p>
        </w:tc>
        <w:tc>
          <w:tcPr>
            <w:tcW w:w="2694" w:type="dxa"/>
          </w:tcPr>
          <w:p w14:paraId="7C7D0DF1"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648CD8D9"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0A67F83E" w14:textId="77777777" w:rsidR="004E217A" w:rsidRDefault="004E217A" w:rsidP="000D694B">
            <w:pPr>
              <w:autoSpaceDE w:val="0"/>
              <w:autoSpaceDN w:val="0"/>
              <w:adjustRightInd w:val="0"/>
              <w:rPr>
                <w:rFonts w:ascii="Sylfaen" w:hAnsi="Sylfaen" w:cstheme="minorHAnsi"/>
                <w:b/>
                <w:sz w:val="20"/>
                <w:szCs w:val="20"/>
              </w:rPr>
            </w:pPr>
          </w:p>
        </w:tc>
      </w:tr>
      <w:tr w:rsidR="004E217A" w14:paraId="6B68E4F4" w14:textId="77777777" w:rsidTr="00C614C0">
        <w:tc>
          <w:tcPr>
            <w:tcW w:w="392" w:type="dxa"/>
          </w:tcPr>
          <w:p w14:paraId="2C6664F0"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6F3B27CC" w14:textId="77777777" w:rsidR="004E217A" w:rsidRDefault="004E217A">
            <w:pPr>
              <w:rPr>
                <w:color w:val="000000"/>
                <w:sz w:val="24"/>
                <w:szCs w:val="24"/>
              </w:rPr>
            </w:pPr>
            <w:r>
              <w:rPr>
                <w:color w:val="000000"/>
              </w:rPr>
              <w:t>Top 10 DRGs – most common DRGs based on volume and cost.</w:t>
            </w:r>
          </w:p>
        </w:tc>
        <w:tc>
          <w:tcPr>
            <w:tcW w:w="2694" w:type="dxa"/>
          </w:tcPr>
          <w:p w14:paraId="4B72AA6E" w14:textId="77777777" w:rsidR="004E217A" w:rsidRPr="003415F7" w:rsidRDefault="004D2723" w:rsidP="003415F7">
            <w:pPr>
              <w:rPr>
                <w:color w:val="000000"/>
              </w:rPr>
            </w:pPr>
            <w:r w:rsidRPr="003415F7">
              <w:rPr>
                <w:color w:val="000000"/>
              </w:rPr>
              <w:t>UHC reporting module</w:t>
            </w:r>
          </w:p>
        </w:tc>
        <w:tc>
          <w:tcPr>
            <w:tcW w:w="1984" w:type="dxa"/>
          </w:tcPr>
          <w:p w14:paraId="09011867" w14:textId="77777777" w:rsidR="004E217A" w:rsidRPr="003415F7" w:rsidRDefault="00EB17FC" w:rsidP="003415F7">
            <w:pPr>
              <w:rPr>
                <w:color w:val="000000"/>
              </w:rPr>
            </w:pPr>
            <w:r>
              <w:rPr>
                <w:color w:val="000000"/>
              </w:rPr>
              <w:t>6 month</w:t>
            </w:r>
          </w:p>
        </w:tc>
        <w:tc>
          <w:tcPr>
            <w:tcW w:w="3686" w:type="dxa"/>
          </w:tcPr>
          <w:p w14:paraId="0A11E41D" w14:textId="77777777" w:rsidR="004E217A" w:rsidRPr="003415F7" w:rsidRDefault="004E217A" w:rsidP="003415F7">
            <w:pPr>
              <w:rPr>
                <w:color w:val="000000"/>
              </w:rPr>
            </w:pPr>
          </w:p>
        </w:tc>
      </w:tr>
      <w:tr w:rsidR="004D2723" w14:paraId="4B7C9077" w14:textId="77777777" w:rsidTr="00C614C0">
        <w:tc>
          <w:tcPr>
            <w:tcW w:w="392" w:type="dxa"/>
          </w:tcPr>
          <w:p w14:paraId="32245C3A"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37F2F304" w14:textId="77777777" w:rsidR="004D2723" w:rsidRDefault="004D2723" w:rsidP="004D2723">
            <w:pPr>
              <w:rPr>
                <w:color w:val="000000"/>
                <w:sz w:val="24"/>
                <w:szCs w:val="24"/>
              </w:rPr>
            </w:pPr>
            <w:r>
              <w:rPr>
                <w:color w:val="000000"/>
              </w:rPr>
              <w:t>Patterns of MDC (major diagnostic category) – aggregated by hospital’s performance based on MDCs.</w:t>
            </w:r>
          </w:p>
        </w:tc>
        <w:tc>
          <w:tcPr>
            <w:tcW w:w="2694" w:type="dxa"/>
          </w:tcPr>
          <w:p w14:paraId="7E61A10A" w14:textId="77777777" w:rsidR="004D2723" w:rsidRPr="003415F7" w:rsidRDefault="004D2723">
            <w:pPr>
              <w:rPr>
                <w:color w:val="000000"/>
              </w:rPr>
            </w:pPr>
            <w:r w:rsidRPr="003415F7">
              <w:rPr>
                <w:color w:val="000000"/>
              </w:rPr>
              <w:t>UHC reporting module</w:t>
            </w:r>
          </w:p>
        </w:tc>
        <w:tc>
          <w:tcPr>
            <w:tcW w:w="1984" w:type="dxa"/>
          </w:tcPr>
          <w:p w14:paraId="026BEC81" w14:textId="5C8ECDB8" w:rsidR="004D2723" w:rsidRPr="003415F7" w:rsidRDefault="00AE1AF2">
            <w:pPr>
              <w:rPr>
                <w:color w:val="000000"/>
              </w:rPr>
            </w:pPr>
            <w:r>
              <w:rPr>
                <w:color w:val="000000"/>
              </w:rPr>
              <w:t>annually</w:t>
            </w:r>
          </w:p>
        </w:tc>
        <w:tc>
          <w:tcPr>
            <w:tcW w:w="3686" w:type="dxa"/>
          </w:tcPr>
          <w:p w14:paraId="015CCBB0" w14:textId="77777777" w:rsidR="003415F7" w:rsidRPr="004E217A" w:rsidRDefault="003415F7" w:rsidP="003415F7">
            <w:pPr>
              <w:autoSpaceDE w:val="0"/>
              <w:autoSpaceDN w:val="0"/>
              <w:adjustRightInd w:val="0"/>
              <w:rPr>
                <w:rFonts w:ascii="Times New Roman" w:hAnsi="Times New Roman" w:cs="Times New Roman"/>
                <w:sz w:val="24"/>
                <w:szCs w:val="24"/>
              </w:rPr>
            </w:pPr>
            <w:proofErr w:type="gramStart"/>
            <w:r w:rsidRPr="004E217A">
              <w:rPr>
                <w:rFonts w:ascii="Times New Roman" w:hAnsi="Times New Roman" w:cs="Times New Roman"/>
                <w:color w:val="000000"/>
                <w:sz w:val="24"/>
                <w:szCs w:val="24"/>
              </w:rPr>
              <w:t>enables</w:t>
            </w:r>
            <w:proofErr w:type="gramEnd"/>
            <w:r w:rsidRPr="004E217A">
              <w:rPr>
                <w:rFonts w:ascii="Times New Roman" w:hAnsi="Times New Roman" w:cs="Times New Roman"/>
                <w:color w:val="000000"/>
                <w:sz w:val="24"/>
                <w:szCs w:val="24"/>
              </w:rPr>
              <w:t xml:space="preserve"> to compare hospitals and/or one hospital’s performance over time.</w:t>
            </w:r>
          </w:p>
          <w:p w14:paraId="5FFEC29B" w14:textId="77777777" w:rsidR="004D2723" w:rsidRPr="003415F7" w:rsidRDefault="004D2723" w:rsidP="000D694B">
            <w:pPr>
              <w:autoSpaceDE w:val="0"/>
              <w:autoSpaceDN w:val="0"/>
              <w:adjustRightInd w:val="0"/>
              <w:rPr>
                <w:color w:val="000000"/>
              </w:rPr>
            </w:pPr>
          </w:p>
        </w:tc>
      </w:tr>
      <w:tr w:rsidR="004D2723" w14:paraId="77BFCAAB" w14:textId="77777777" w:rsidTr="00C614C0">
        <w:tc>
          <w:tcPr>
            <w:tcW w:w="392" w:type="dxa"/>
          </w:tcPr>
          <w:p w14:paraId="04BEFC00"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2DD64C84" w14:textId="77777777" w:rsidR="004D2723" w:rsidRDefault="004D2723" w:rsidP="004D2723">
            <w:pPr>
              <w:rPr>
                <w:color w:val="000000"/>
                <w:sz w:val="24"/>
                <w:szCs w:val="24"/>
              </w:rPr>
            </w:pPr>
            <w:r>
              <w:rPr>
                <w:color w:val="000000"/>
              </w:rPr>
              <w:t xml:space="preserve">Length of stay (LOS) by DRGs and by hospitals </w:t>
            </w:r>
          </w:p>
        </w:tc>
        <w:tc>
          <w:tcPr>
            <w:tcW w:w="2694" w:type="dxa"/>
          </w:tcPr>
          <w:p w14:paraId="1142267E" w14:textId="77777777" w:rsidR="004D2723" w:rsidRPr="003415F7" w:rsidRDefault="004D2723">
            <w:pPr>
              <w:rPr>
                <w:color w:val="000000"/>
              </w:rPr>
            </w:pPr>
            <w:r w:rsidRPr="003415F7">
              <w:rPr>
                <w:color w:val="000000"/>
              </w:rPr>
              <w:t>UHC reporting module</w:t>
            </w:r>
          </w:p>
          <w:p w14:paraId="31CB6EA4" w14:textId="77777777" w:rsidR="003415F7" w:rsidRPr="003415F7" w:rsidRDefault="003415F7">
            <w:pPr>
              <w:rPr>
                <w:color w:val="000000"/>
              </w:rPr>
            </w:pPr>
            <w:r w:rsidRPr="003415F7">
              <w:rPr>
                <w:color w:val="000000"/>
              </w:rPr>
              <w:lastRenderedPageBreak/>
              <w:t>NCDC form #066</w:t>
            </w:r>
          </w:p>
        </w:tc>
        <w:tc>
          <w:tcPr>
            <w:tcW w:w="1984" w:type="dxa"/>
          </w:tcPr>
          <w:p w14:paraId="64604C43" w14:textId="77777777" w:rsidR="004D2723" w:rsidRPr="003415F7" w:rsidRDefault="004D2723">
            <w:pPr>
              <w:rPr>
                <w:color w:val="000000"/>
              </w:rPr>
            </w:pPr>
            <w:r w:rsidRPr="003415F7">
              <w:rPr>
                <w:color w:val="000000"/>
              </w:rPr>
              <w:lastRenderedPageBreak/>
              <w:t>quarterly</w:t>
            </w:r>
          </w:p>
        </w:tc>
        <w:tc>
          <w:tcPr>
            <w:tcW w:w="3686" w:type="dxa"/>
          </w:tcPr>
          <w:p w14:paraId="5D5A9981" w14:textId="77777777" w:rsidR="004D2723" w:rsidRPr="003415F7" w:rsidRDefault="003415F7" w:rsidP="000D694B">
            <w:pPr>
              <w:autoSpaceDE w:val="0"/>
              <w:autoSpaceDN w:val="0"/>
              <w:adjustRightInd w:val="0"/>
              <w:rPr>
                <w:color w:val="000000"/>
              </w:rPr>
            </w:pPr>
            <w:r>
              <w:rPr>
                <w:color w:val="000000"/>
              </w:rPr>
              <w:t xml:space="preserve">and/or one hospital’s performance </w:t>
            </w:r>
            <w:r>
              <w:rPr>
                <w:color w:val="000000"/>
              </w:rPr>
              <w:lastRenderedPageBreak/>
              <w:t>over time</w:t>
            </w:r>
          </w:p>
        </w:tc>
      </w:tr>
      <w:tr w:rsidR="004D2723" w14:paraId="036E45D2" w14:textId="77777777" w:rsidTr="00C614C0">
        <w:tc>
          <w:tcPr>
            <w:tcW w:w="392" w:type="dxa"/>
          </w:tcPr>
          <w:p w14:paraId="13CEF60A"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05C1911D" w14:textId="77777777" w:rsidR="004D2723" w:rsidRDefault="004D2723" w:rsidP="003415F7">
            <w:pPr>
              <w:rPr>
                <w:color w:val="000000"/>
                <w:sz w:val="24"/>
                <w:szCs w:val="24"/>
              </w:rPr>
            </w:pPr>
            <w:r>
              <w:rPr>
                <w:color w:val="000000"/>
              </w:rPr>
              <w:t xml:space="preserve">% of cases performed in day surgery (by selected DRGs), e.g. cataract surgery, tonsil- or adenoidectomy, appendectomy, laparoscopic repair of inguinal hernia, cholecystectomy) – by hospitals </w:t>
            </w:r>
          </w:p>
        </w:tc>
        <w:tc>
          <w:tcPr>
            <w:tcW w:w="2694" w:type="dxa"/>
          </w:tcPr>
          <w:p w14:paraId="6DE8B0D7" w14:textId="77777777" w:rsidR="004D2723" w:rsidRPr="003415F7" w:rsidRDefault="004D2723">
            <w:pPr>
              <w:rPr>
                <w:color w:val="000000"/>
              </w:rPr>
            </w:pPr>
            <w:r w:rsidRPr="003415F7">
              <w:rPr>
                <w:color w:val="000000"/>
              </w:rPr>
              <w:t>UHC reporting module</w:t>
            </w:r>
          </w:p>
          <w:p w14:paraId="12D527DC" w14:textId="77777777" w:rsidR="004D2723" w:rsidRPr="003415F7" w:rsidRDefault="004D2723">
            <w:pPr>
              <w:rPr>
                <w:color w:val="000000"/>
              </w:rPr>
            </w:pPr>
            <w:r w:rsidRPr="003415F7">
              <w:rPr>
                <w:color w:val="000000"/>
              </w:rPr>
              <w:t>NCDC form #066</w:t>
            </w:r>
          </w:p>
        </w:tc>
        <w:tc>
          <w:tcPr>
            <w:tcW w:w="1984" w:type="dxa"/>
          </w:tcPr>
          <w:p w14:paraId="1666F13A" w14:textId="0578CBD8" w:rsidR="004D2723" w:rsidRPr="003415F7" w:rsidRDefault="00AE1AF2" w:rsidP="00AE1AF2">
            <w:pPr>
              <w:rPr>
                <w:color w:val="000000"/>
              </w:rPr>
            </w:pPr>
            <w:r>
              <w:rPr>
                <w:color w:val="000000"/>
              </w:rPr>
              <w:t>6 month</w:t>
            </w:r>
          </w:p>
        </w:tc>
        <w:tc>
          <w:tcPr>
            <w:tcW w:w="3686" w:type="dxa"/>
          </w:tcPr>
          <w:p w14:paraId="0640EA6F" w14:textId="77777777" w:rsidR="004D2723" w:rsidRPr="003415F7" w:rsidRDefault="004D2723" w:rsidP="000D694B">
            <w:pPr>
              <w:autoSpaceDE w:val="0"/>
              <w:autoSpaceDN w:val="0"/>
              <w:adjustRightInd w:val="0"/>
              <w:rPr>
                <w:color w:val="000000"/>
              </w:rPr>
            </w:pPr>
          </w:p>
        </w:tc>
      </w:tr>
      <w:tr w:rsidR="00EB17FC" w14:paraId="7A29F0B7" w14:textId="77777777" w:rsidTr="00C614C0">
        <w:tc>
          <w:tcPr>
            <w:tcW w:w="392" w:type="dxa"/>
          </w:tcPr>
          <w:p w14:paraId="3879442F" w14:textId="77777777" w:rsidR="00EB17FC" w:rsidRDefault="0083270D"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819" w:type="dxa"/>
            <w:vAlign w:val="bottom"/>
          </w:tcPr>
          <w:p w14:paraId="1F399013" w14:textId="22A1E908" w:rsidR="00EB17FC" w:rsidRDefault="00EB17FC">
            <w:pPr>
              <w:rPr>
                <w:rFonts w:ascii="Calibri" w:hAnsi="Calibri" w:cs="Calibri"/>
                <w:color w:val="000000"/>
              </w:rPr>
            </w:pPr>
            <w:r>
              <w:rPr>
                <w:rFonts w:ascii="Calibri" w:hAnsi="Calibri" w:cs="Calibri"/>
                <w:color w:val="000000"/>
              </w:rPr>
              <w:t xml:space="preserve">Re-hospitalization by </w:t>
            </w:r>
            <w:r w:rsidR="00AE1AF2">
              <w:t>DRGs/diagnosis</w:t>
            </w:r>
            <w:r w:rsidR="00AE1AF2">
              <w:rPr>
                <w:rStyle w:val="CommentReference"/>
              </w:rPr>
              <w:t xml:space="preserve"> </w:t>
            </w:r>
          </w:p>
        </w:tc>
        <w:tc>
          <w:tcPr>
            <w:tcW w:w="2694" w:type="dxa"/>
          </w:tcPr>
          <w:p w14:paraId="7E58E9F0" w14:textId="77777777" w:rsidR="00EB17FC" w:rsidRPr="003415F7" w:rsidRDefault="00EB17FC" w:rsidP="00EB17FC">
            <w:pPr>
              <w:rPr>
                <w:color w:val="000000"/>
              </w:rPr>
            </w:pPr>
            <w:r w:rsidRPr="003415F7">
              <w:rPr>
                <w:color w:val="000000"/>
              </w:rPr>
              <w:t>UHC reporting module</w:t>
            </w:r>
          </w:p>
          <w:p w14:paraId="34138F81" w14:textId="77777777" w:rsidR="00EB17FC" w:rsidRDefault="00EB17FC" w:rsidP="00EB17FC">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6D751051" w14:textId="77777777" w:rsidR="00EB17FC" w:rsidRDefault="00EB17FC" w:rsidP="000D694B">
            <w:pPr>
              <w:autoSpaceDE w:val="0"/>
              <w:autoSpaceDN w:val="0"/>
              <w:adjustRightInd w:val="0"/>
              <w:rPr>
                <w:rFonts w:ascii="Times New Roman" w:hAnsi="Times New Roman" w:cs="Times New Roman"/>
                <w:color w:val="000000"/>
                <w:sz w:val="24"/>
                <w:szCs w:val="24"/>
              </w:rPr>
            </w:pPr>
            <w:r w:rsidRPr="003415F7">
              <w:rPr>
                <w:color w:val="000000"/>
              </w:rPr>
              <w:t>Quarterly</w:t>
            </w:r>
            <w:r>
              <w:rPr>
                <w:color w:val="000000"/>
              </w:rPr>
              <w:t>/6 month</w:t>
            </w:r>
          </w:p>
        </w:tc>
        <w:tc>
          <w:tcPr>
            <w:tcW w:w="3686" w:type="dxa"/>
          </w:tcPr>
          <w:p w14:paraId="3EFFE611" w14:textId="77777777" w:rsidR="00EB17FC" w:rsidRDefault="00EB17FC" w:rsidP="000D694B">
            <w:pPr>
              <w:autoSpaceDE w:val="0"/>
              <w:autoSpaceDN w:val="0"/>
              <w:adjustRightInd w:val="0"/>
              <w:rPr>
                <w:rFonts w:ascii="Sylfaen" w:hAnsi="Sylfaen" w:cstheme="minorHAnsi"/>
                <w:b/>
                <w:sz w:val="20"/>
                <w:szCs w:val="20"/>
              </w:rPr>
            </w:pPr>
          </w:p>
        </w:tc>
      </w:tr>
      <w:tr w:rsidR="004E217A" w14:paraId="0BF3C495" w14:textId="77777777" w:rsidTr="00C614C0">
        <w:tc>
          <w:tcPr>
            <w:tcW w:w="392" w:type="dxa"/>
          </w:tcPr>
          <w:p w14:paraId="360494D1"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bottom"/>
          </w:tcPr>
          <w:p w14:paraId="68CDE4F9" w14:textId="77777777" w:rsidR="004E217A" w:rsidRDefault="004E217A">
            <w:pPr>
              <w:rPr>
                <w:rFonts w:ascii="Calibri" w:hAnsi="Calibri" w:cs="Calibri"/>
                <w:color w:val="000000"/>
              </w:rPr>
            </w:pPr>
          </w:p>
        </w:tc>
        <w:tc>
          <w:tcPr>
            <w:tcW w:w="2694" w:type="dxa"/>
          </w:tcPr>
          <w:p w14:paraId="3DD61680"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5929F182"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3922ED3B" w14:textId="77777777" w:rsidR="004E217A" w:rsidRDefault="004E217A" w:rsidP="000D694B">
            <w:pPr>
              <w:autoSpaceDE w:val="0"/>
              <w:autoSpaceDN w:val="0"/>
              <w:adjustRightInd w:val="0"/>
              <w:rPr>
                <w:rFonts w:ascii="Sylfaen" w:hAnsi="Sylfaen" w:cstheme="minorHAnsi"/>
                <w:b/>
                <w:sz w:val="20"/>
                <w:szCs w:val="20"/>
              </w:rPr>
            </w:pPr>
          </w:p>
        </w:tc>
      </w:tr>
      <w:tr w:rsidR="004E217A" w14:paraId="3F2F9D7E" w14:textId="77777777" w:rsidTr="00C614C0">
        <w:tc>
          <w:tcPr>
            <w:tcW w:w="392" w:type="dxa"/>
          </w:tcPr>
          <w:p w14:paraId="21C93AEF"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3FE69C25" w14:textId="77777777" w:rsidR="004E217A" w:rsidRDefault="004E217A">
            <w:pPr>
              <w:rPr>
                <w:i/>
                <w:iCs/>
                <w:color w:val="000000"/>
                <w:sz w:val="24"/>
                <w:szCs w:val="24"/>
              </w:rPr>
            </w:pPr>
            <w:r>
              <w:rPr>
                <w:i/>
                <w:iCs/>
                <w:color w:val="000000"/>
              </w:rPr>
              <w:t>B.</w:t>
            </w:r>
            <w:r>
              <w:rPr>
                <w:rFonts w:ascii="Arial" w:hAnsi="Arial" w:cs="Arial"/>
                <w:i/>
                <w:iCs/>
                <w:color w:val="000000"/>
              </w:rPr>
              <w:t xml:space="preserve"> </w:t>
            </w:r>
            <w:r>
              <w:rPr>
                <w:i/>
                <w:iCs/>
                <w:color w:val="000000"/>
              </w:rPr>
              <w:t>Coding quality indicators</w:t>
            </w:r>
          </w:p>
        </w:tc>
        <w:tc>
          <w:tcPr>
            <w:tcW w:w="2694" w:type="dxa"/>
          </w:tcPr>
          <w:p w14:paraId="0D010F8F"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7CBEABCD"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39D1C2EC" w14:textId="77777777" w:rsidR="004E217A" w:rsidRDefault="004E217A" w:rsidP="000D694B">
            <w:pPr>
              <w:autoSpaceDE w:val="0"/>
              <w:autoSpaceDN w:val="0"/>
              <w:adjustRightInd w:val="0"/>
              <w:rPr>
                <w:rFonts w:ascii="Sylfaen" w:hAnsi="Sylfaen" w:cstheme="minorHAnsi"/>
                <w:b/>
                <w:sz w:val="20"/>
                <w:szCs w:val="20"/>
              </w:rPr>
            </w:pPr>
          </w:p>
        </w:tc>
      </w:tr>
      <w:tr w:rsidR="004E217A" w14:paraId="00BD1414" w14:textId="77777777" w:rsidTr="00C614C0">
        <w:tc>
          <w:tcPr>
            <w:tcW w:w="392" w:type="dxa"/>
          </w:tcPr>
          <w:p w14:paraId="20B9C8BC"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1256A599" w14:textId="77777777" w:rsidR="0083270D" w:rsidRPr="0083270D" w:rsidRDefault="004E217A" w:rsidP="003415F7">
            <w:pPr>
              <w:rPr>
                <w:color w:val="000000"/>
              </w:rPr>
            </w:pPr>
            <w:r>
              <w:rPr>
                <w:color w:val="000000"/>
              </w:rPr>
              <w:t xml:space="preserve">Coding of co-morbidities and complications (by selected DRGs) </w:t>
            </w:r>
          </w:p>
        </w:tc>
        <w:tc>
          <w:tcPr>
            <w:tcW w:w="2694" w:type="dxa"/>
          </w:tcPr>
          <w:p w14:paraId="211B9522" w14:textId="77777777" w:rsidR="00C614C0" w:rsidRPr="003415F7" w:rsidRDefault="00C614C0" w:rsidP="00C614C0">
            <w:pPr>
              <w:rPr>
                <w:color w:val="000000"/>
              </w:rPr>
            </w:pPr>
            <w:r w:rsidRPr="003415F7">
              <w:rPr>
                <w:color w:val="000000"/>
              </w:rPr>
              <w:t>UHC reporting module</w:t>
            </w:r>
          </w:p>
          <w:p w14:paraId="3A34F5D2" w14:textId="77777777" w:rsidR="004E217A" w:rsidRPr="00C614C0" w:rsidRDefault="00C614C0" w:rsidP="00C614C0">
            <w:pPr>
              <w:autoSpaceDE w:val="0"/>
              <w:autoSpaceDN w:val="0"/>
              <w:adjustRightInd w:val="0"/>
              <w:rPr>
                <w:rFonts w:ascii="Times New Roman" w:hAnsi="Times New Roman" w:cs="Times New Roman"/>
                <w:b/>
                <w:color w:val="000000"/>
                <w:sz w:val="24"/>
                <w:szCs w:val="24"/>
              </w:rPr>
            </w:pPr>
            <w:r w:rsidRPr="003415F7">
              <w:rPr>
                <w:color w:val="000000"/>
              </w:rPr>
              <w:t>NCDC form #066</w:t>
            </w:r>
          </w:p>
        </w:tc>
        <w:tc>
          <w:tcPr>
            <w:tcW w:w="1984" w:type="dxa"/>
          </w:tcPr>
          <w:p w14:paraId="1CC7432C" w14:textId="77777777"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2368A635" w14:textId="77777777" w:rsidR="004E217A" w:rsidRDefault="00C614C0" w:rsidP="000D694B">
            <w:pPr>
              <w:autoSpaceDE w:val="0"/>
              <w:autoSpaceDN w:val="0"/>
              <w:adjustRightInd w:val="0"/>
              <w:rPr>
                <w:rFonts w:ascii="Sylfaen" w:hAnsi="Sylfaen" w:cstheme="minorHAnsi"/>
                <w:b/>
                <w:sz w:val="20"/>
                <w:szCs w:val="20"/>
              </w:rPr>
            </w:pPr>
            <w:r>
              <w:rPr>
                <w:color w:val="000000"/>
              </w:rPr>
              <w:t>S</w:t>
            </w:r>
            <w:r w:rsidR="003415F7">
              <w:rPr>
                <w:color w:val="000000"/>
              </w:rPr>
              <w:t>hows the coding the co-morbidities and complications. Differences between hospitals may refer to the coding issues but also to clinical variations or quality issues.</w:t>
            </w:r>
          </w:p>
        </w:tc>
      </w:tr>
      <w:tr w:rsidR="004E217A" w14:paraId="7FD8F159" w14:textId="77777777" w:rsidTr="00C614C0">
        <w:tc>
          <w:tcPr>
            <w:tcW w:w="392" w:type="dxa"/>
          </w:tcPr>
          <w:p w14:paraId="70B7E80E"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A4E420B" w14:textId="77777777" w:rsidR="004E217A" w:rsidRDefault="004E217A" w:rsidP="00C614C0">
            <w:pPr>
              <w:rPr>
                <w:color w:val="000000"/>
                <w:sz w:val="24"/>
                <w:szCs w:val="24"/>
              </w:rPr>
            </w:pPr>
            <w:r>
              <w:rPr>
                <w:color w:val="000000"/>
              </w:rPr>
              <w:t xml:space="preserve">Number of coded diagnoses per case – </w:t>
            </w:r>
          </w:p>
        </w:tc>
        <w:tc>
          <w:tcPr>
            <w:tcW w:w="2694" w:type="dxa"/>
          </w:tcPr>
          <w:p w14:paraId="07488707" w14:textId="77777777" w:rsidR="00C614C0" w:rsidRPr="003415F7" w:rsidRDefault="00C614C0" w:rsidP="00C614C0">
            <w:pPr>
              <w:rPr>
                <w:color w:val="000000"/>
              </w:rPr>
            </w:pPr>
            <w:r w:rsidRPr="003415F7">
              <w:rPr>
                <w:color w:val="000000"/>
              </w:rPr>
              <w:t>UHC reporting module</w:t>
            </w:r>
          </w:p>
          <w:p w14:paraId="0470C1A8" w14:textId="77777777" w:rsidR="004E217A" w:rsidRDefault="00C614C0" w:rsidP="00C614C0">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74C200A7" w14:textId="77777777"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519FF077" w14:textId="77777777" w:rsidR="004E217A" w:rsidRDefault="00C614C0" w:rsidP="000D694B">
            <w:pPr>
              <w:autoSpaceDE w:val="0"/>
              <w:autoSpaceDN w:val="0"/>
              <w:adjustRightInd w:val="0"/>
              <w:rPr>
                <w:rFonts w:ascii="Sylfaen" w:hAnsi="Sylfaen" w:cstheme="minorHAnsi"/>
                <w:b/>
                <w:sz w:val="20"/>
                <w:szCs w:val="20"/>
              </w:rPr>
            </w:pPr>
            <w:r>
              <w:rPr>
                <w:color w:val="000000"/>
              </w:rPr>
              <w:t>Shows the coding activity and should be observed over period of time to see the changes in coding habits which may be caused by implementation of DRG system.</w:t>
            </w:r>
          </w:p>
        </w:tc>
      </w:tr>
      <w:tr w:rsidR="00C614C0" w14:paraId="0C53729C" w14:textId="77777777" w:rsidTr="00C614C0">
        <w:tc>
          <w:tcPr>
            <w:tcW w:w="392" w:type="dxa"/>
          </w:tcPr>
          <w:p w14:paraId="3B9CC5E0"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085FEE0E" w14:textId="3875914D" w:rsidR="00C614C0" w:rsidRDefault="00C614C0" w:rsidP="00C614C0">
            <w:pPr>
              <w:rPr>
                <w:color w:val="000000"/>
                <w:sz w:val="24"/>
                <w:szCs w:val="24"/>
              </w:rPr>
            </w:pPr>
            <w:r>
              <w:rPr>
                <w:color w:val="000000"/>
              </w:rPr>
              <w:t xml:space="preserve">Use of unspecific codes/R codes </w:t>
            </w:r>
          </w:p>
        </w:tc>
        <w:tc>
          <w:tcPr>
            <w:tcW w:w="2694" w:type="dxa"/>
          </w:tcPr>
          <w:p w14:paraId="633C5418" w14:textId="77777777" w:rsidR="00C614C0" w:rsidRPr="003415F7" w:rsidRDefault="00C614C0" w:rsidP="000D694B">
            <w:pPr>
              <w:rPr>
                <w:color w:val="000000"/>
              </w:rPr>
            </w:pPr>
            <w:r w:rsidRPr="003415F7">
              <w:rPr>
                <w:color w:val="000000"/>
              </w:rPr>
              <w:t>UHC reporting module</w:t>
            </w:r>
          </w:p>
          <w:p w14:paraId="1C7301B9" w14:textId="77777777"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0315EA5B" w14:textId="77777777"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7ACC57DB" w14:textId="77777777" w:rsidR="00C614C0" w:rsidRDefault="00C614C0" w:rsidP="000D694B">
            <w:pPr>
              <w:autoSpaceDE w:val="0"/>
              <w:autoSpaceDN w:val="0"/>
              <w:adjustRightInd w:val="0"/>
              <w:rPr>
                <w:rFonts w:ascii="Sylfaen" w:hAnsi="Sylfaen" w:cstheme="minorHAnsi"/>
                <w:b/>
                <w:sz w:val="20"/>
                <w:szCs w:val="20"/>
              </w:rPr>
            </w:pPr>
            <w:r>
              <w:rPr>
                <w:color w:val="000000"/>
              </w:rPr>
              <w:t>provides the information about the specificity of coding.</w:t>
            </w:r>
          </w:p>
        </w:tc>
      </w:tr>
      <w:tr w:rsidR="00C614C0" w14:paraId="3DC5F46E" w14:textId="77777777" w:rsidTr="00C614C0">
        <w:tc>
          <w:tcPr>
            <w:tcW w:w="392" w:type="dxa"/>
          </w:tcPr>
          <w:p w14:paraId="7860936D"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2C04A4C0" w14:textId="77777777" w:rsidR="00C614C0" w:rsidRDefault="00C614C0" w:rsidP="00C614C0">
            <w:pPr>
              <w:rPr>
                <w:color w:val="000000"/>
                <w:sz w:val="24"/>
                <w:szCs w:val="24"/>
              </w:rPr>
            </w:pPr>
            <w:r>
              <w:rPr>
                <w:color w:val="000000"/>
              </w:rPr>
              <w:t xml:space="preserve">Cases in error DRGs (470), cases with rare diagnosis-procedure combination (468/O, 477/O) – </w:t>
            </w:r>
          </w:p>
        </w:tc>
        <w:tc>
          <w:tcPr>
            <w:tcW w:w="2694" w:type="dxa"/>
          </w:tcPr>
          <w:p w14:paraId="49311FCF" w14:textId="77777777" w:rsidR="00C614C0" w:rsidRPr="003415F7" w:rsidRDefault="00C614C0" w:rsidP="00C614C0">
            <w:pPr>
              <w:rPr>
                <w:color w:val="000000"/>
              </w:rPr>
            </w:pPr>
            <w:r w:rsidRPr="003415F7">
              <w:rPr>
                <w:color w:val="000000"/>
              </w:rPr>
              <w:t>UHC reporting module</w:t>
            </w:r>
          </w:p>
          <w:p w14:paraId="7C9E1BAA"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5898564C" w14:textId="7E5625ED" w:rsidR="00C614C0" w:rsidRDefault="00763E7E"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 months</w:t>
            </w:r>
          </w:p>
        </w:tc>
        <w:tc>
          <w:tcPr>
            <w:tcW w:w="3686" w:type="dxa"/>
          </w:tcPr>
          <w:p w14:paraId="67338018" w14:textId="77777777" w:rsidR="00C614C0" w:rsidRDefault="00C614C0" w:rsidP="000D694B">
            <w:pPr>
              <w:autoSpaceDE w:val="0"/>
              <w:autoSpaceDN w:val="0"/>
              <w:adjustRightInd w:val="0"/>
              <w:rPr>
                <w:rFonts w:ascii="Sylfaen" w:hAnsi="Sylfaen" w:cstheme="minorHAnsi"/>
                <w:b/>
                <w:sz w:val="20"/>
                <w:szCs w:val="20"/>
              </w:rPr>
            </w:pPr>
            <w:r>
              <w:rPr>
                <w:color w:val="000000"/>
              </w:rPr>
              <w:t>shows the coding issues which need additional attention from providers and SSA.</w:t>
            </w:r>
          </w:p>
        </w:tc>
      </w:tr>
      <w:tr w:rsidR="00C614C0" w14:paraId="1098C4C7" w14:textId="77777777" w:rsidTr="00C614C0">
        <w:tc>
          <w:tcPr>
            <w:tcW w:w="392" w:type="dxa"/>
          </w:tcPr>
          <w:p w14:paraId="6E3F0663"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bottom"/>
          </w:tcPr>
          <w:p w14:paraId="02E4E96C" w14:textId="77777777" w:rsidR="00C614C0" w:rsidRDefault="00C614C0">
            <w:pPr>
              <w:rPr>
                <w:rFonts w:ascii="Calibri" w:hAnsi="Calibri" w:cs="Calibri"/>
                <w:color w:val="000000"/>
              </w:rPr>
            </w:pPr>
          </w:p>
        </w:tc>
        <w:tc>
          <w:tcPr>
            <w:tcW w:w="2694" w:type="dxa"/>
          </w:tcPr>
          <w:p w14:paraId="22DB859D"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5AA1A669"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14:paraId="0679FAD7" w14:textId="77777777" w:rsidR="00C614C0" w:rsidRDefault="00C614C0" w:rsidP="000D694B">
            <w:pPr>
              <w:autoSpaceDE w:val="0"/>
              <w:autoSpaceDN w:val="0"/>
              <w:adjustRightInd w:val="0"/>
              <w:rPr>
                <w:rFonts w:ascii="Sylfaen" w:hAnsi="Sylfaen" w:cstheme="minorHAnsi"/>
                <w:b/>
                <w:sz w:val="20"/>
                <w:szCs w:val="20"/>
              </w:rPr>
            </w:pPr>
          </w:p>
        </w:tc>
      </w:tr>
      <w:tr w:rsidR="00C614C0" w14:paraId="46FA8A7F" w14:textId="77777777" w:rsidTr="00C614C0">
        <w:tc>
          <w:tcPr>
            <w:tcW w:w="392" w:type="dxa"/>
          </w:tcPr>
          <w:p w14:paraId="4FC1C263"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74B1D5D" w14:textId="77777777" w:rsidR="00C614C0" w:rsidRDefault="00C614C0">
            <w:pPr>
              <w:rPr>
                <w:i/>
                <w:iCs/>
                <w:color w:val="000000"/>
                <w:sz w:val="24"/>
                <w:szCs w:val="24"/>
              </w:rPr>
            </w:pPr>
            <w:r>
              <w:rPr>
                <w:i/>
                <w:iCs/>
                <w:color w:val="000000"/>
              </w:rPr>
              <w:t>C.</w:t>
            </w:r>
            <w:r>
              <w:rPr>
                <w:rFonts w:ascii="Arial" w:hAnsi="Arial" w:cs="Arial"/>
                <w:i/>
                <w:iCs/>
                <w:color w:val="000000"/>
              </w:rPr>
              <w:t xml:space="preserve"> </w:t>
            </w:r>
            <w:r>
              <w:rPr>
                <w:i/>
                <w:iCs/>
                <w:color w:val="000000"/>
              </w:rPr>
              <w:t xml:space="preserve">Cost and resource utilization indicators </w:t>
            </w:r>
          </w:p>
        </w:tc>
        <w:tc>
          <w:tcPr>
            <w:tcW w:w="2694" w:type="dxa"/>
          </w:tcPr>
          <w:p w14:paraId="77B26AF9"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12BECBC5"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14:paraId="3C9BFB0A" w14:textId="77777777" w:rsidR="00C614C0" w:rsidRDefault="00C614C0" w:rsidP="000D694B">
            <w:pPr>
              <w:autoSpaceDE w:val="0"/>
              <w:autoSpaceDN w:val="0"/>
              <w:adjustRightInd w:val="0"/>
              <w:rPr>
                <w:rFonts w:ascii="Sylfaen" w:hAnsi="Sylfaen" w:cstheme="minorHAnsi"/>
                <w:b/>
                <w:sz w:val="20"/>
                <w:szCs w:val="20"/>
              </w:rPr>
            </w:pPr>
          </w:p>
        </w:tc>
      </w:tr>
      <w:tr w:rsidR="00C614C0" w14:paraId="773FAFF8" w14:textId="77777777" w:rsidTr="00C614C0">
        <w:tc>
          <w:tcPr>
            <w:tcW w:w="392" w:type="dxa"/>
          </w:tcPr>
          <w:p w14:paraId="149FF824"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7FF33ED" w14:textId="77777777" w:rsidR="00C614C0" w:rsidRDefault="00C614C0" w:rsidP="00C614C0">
            <w:pPr>
              <w:rPr>
                <w:color w:val="000000"/>
                <w:sz w:val="24"/>
                <w:szCs w:val="24"/>
              </w:rPr>
            </w:pPr>
            <w:proofErr w:type="spellStart"/>
            <w:r>
              <w:rPr>
                <w:color w:val="000000"/>
              </w:rPr>
              <w:t>Casemix</w:t>
            </w:r>
            <w:proofErr w:type="spellEnd"/>
            <w:r>
              <w:rPr>
                <w:color w:val="000000"/>
              </w:rPr>
              <w:t xml:space="preserve"> Index (CMI) –</w:t>
            </w:r>
          </w:p>
        </w:tc>
        <w:tc>
          <w:tcPr>
            <w:tcW w:w="2694" w:type="dxa"/>
          </w:tcPr>
          <w:p w14:paraId="7477E36F"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365D1F72" w14:textId="77777777" w:rsidR="00C614C0" w:rsidRDefault="0083270D"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Annually or twice a year</w:t>
            </w:r>
          </w:p>
        </w:tc>
        <w:tc>
          <w:tcPr>
            <w:tcW w:w="3686" w:type="dxa"/>
          </w:tcPr>
          <w:p w14:paraId="2D8C37A6" w14:textId="77777777" w:rsidR="00C614C0" w:rsidRDefault="00C614C0" w:rsidP="000D694B">
            <w:pPr>
              <w:autoSpaceDE w:val="0"/>
              <w:autoSpaceDN w:val="0"/>
              <w:adjustRightInd w:val="0"/>
              <w:rPr>
                <w:rFonts w:ascii="Sylfaen" w:hAnsi="Sylfaen" w:cstheme="minorHAnsi"/>
                <w:b/>
                <w:sz w:val="20"/>
                <w:szCs w:val="20"/>
              </w:rPr>
            </w:pPr>
            <w:r>
              <w:rPr>
                <w:color w:val="000000"/>
              </w:rPr>
              <w:t>is a standard indicator of hospital’s disease severity and a measure of one hospital’s overall output of cases (volume and type of cases) compared to the average for all hospital. It enables to compare hospitals over time and signals potential “over-coding” issues.</w:t>
            </w:r>
          </w:p>
        </w:tc>
      </w:tr>
    </w:tbl>
    <w:p w14:paraId="614EC709" w14:textId="77777777" w:rsidR="004E217A" w:rsidRDefault="004E217A" w:rsidP="00DD5EBA">
      <w:pPr>
        <w:autoSpaceDE w:val="0"/>
        <w:autoSpaceDN w:val="0"/>
        <w:adjustRightInd w:val="0"/>
        <w:spacing w:after="0" w:line="240" w:lineRule="auto"/>
        <w:rPr>
          <w:rFonts w:ascii="Times New Roman" w:hAnsi="Times New Roman" w:cs="Times New Roman"/>
          <w:color w:val="000000"/>
          <w:sz w:val="24"/>
          <w:szCs w:val="24"/>
        </w:rPr>
      </w:pPr>
    </w:p>
    <w:p w14:paraId="26368D8C" w14:textId="77777777"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sectPr w:rsidR="00DD5EBA" w:rsidSect="004E217A">
      <w:pgSz w:w="15840" w:h="12240" w:orient="landscape"/>
      <w:pgMar w:top="1701" w:right="1134" w:bottom="850" w:left="1134"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60D512" w15:done="0"/>
  <w15:commentEx w15:paraId="2B39DF56" w15:done="0"/>
  <w15:commentEx w15:paraId="2B8054BD" w15:done="0"/>
  <w15:commentEx w15:paraId="62FB7442" w15:done="0"/>
  <w15:commentEx w15:paraId="0B7C8F2D" w15:paraIdParent="62FB7442" w15:done="0"/>
  <w15:commentEx w15:paraId="4F3DCA03" w15:done="0"/>
  <w15:commentEx w15:paraId="067BD5B9" w15:done="0"/>
  <w15:commentEx w15:paraId="460EF8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67C"/>
    <w:multiLevelType w:val="hybridMultilevel"/>
    <w:tmpl w:val="D3924672"/>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C612EE"/>
    <w:multiLevelType w:val="hybridMultilevel"/>
    <w:tmpl w:val="C792EA7C"/>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259BE"/>
    <w:multiLevelType w:val="hybridMultilevel"/>
    <w:tmpl w:val="250A355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372F1"/>
    <w:multiLevelType w:val="hybridMultilevel"/>
    <w:tmpl w:val="8DAC6330"/>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D6B25"/>
    <w:multiLevelType w:val="hybridMultilevel"/>
    <w:tmpl w:val="44F615B2"/>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977129"/>
    <w:multiLevelType w:val="hybridMultilevel"/>
    <w:tmpl w:val="DA58F446"/>
    <w:lvl w:ilvl="0" w:tplc="4DE24F18">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D176D6"/>
    <w:multiLevelType w:val="hybridMultilevel"/>
    <w:tmpl w:val="C1508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949511A"/>
    <w:multiLevelType w:val="hybridMultilevel"/>
    <w:tmpl w:val="01BCC09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1119E7"/>
    <w:multiLevelType w:val="hybridMultilevel"/>
    <w:tmpl w:val="FB5ED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55C21A6"/>
    <w:multiLevelType w:val="hybridMultilevel"/>
    <w:tmpl w:val="078E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2"/>
  </w:num>
  <w:num w:numId="6">
    <w:abstractNumId w:val="4"/>
  </w:num>
  <w:num w:numId="7">
    <w:abstractNumId w:val="3"/>
  </w:num>
  <w:num w:numId="8">
    <w:abstractNumId w:val="5"/>
  </w:num>
  <w:num w:numId="9">
    <w:abstractNumId w:val="8"/>
  </w:num>
  <w:num w:numId="10">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hur Kristiina">
    <w15:presenceInfo w15:providerId="AD" w15:userId="S-1-5-21-437910585-3150991787-2124236870-14026"/>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9F"/>
    <w:rsid w:val="00034444"/>
    <w:rsid w:val="000650C4"/>
    <w:rsid w:val="00126B88"/>
    <w:rsid w:val="00175C4E"/>
    <w:rsid w:val="001B31C1"/>
    <w:rsid w:val="001E7FFA"/>
    <w:rsid w:val="003415F7"/>
    <w:rsid w:val="00407BC9"/>
    <w:rsid w:val="004268AD"/>
    <w:rsid w:val="00440AE8"/>
    <w:rsid w:val="004D2723"/>
    <w:rsid w:val="004E217A"/>
    <w:rsid w:val="00572DDE"/>
    <w:rsid w:val="00580617"/>
    <w:rsid w:val="005B0274"/>
    <w:rsid w:val="00763E7E"/>
    <w:rsid w:val="007715D3"/>
    <w:rsid w:val="007E093B"/>
    <w:rsid w:val="008276F6"/>
    <w:rsid w:val="0083270D"/>
    <w:rsid w:val="00903B96"/>
    <w:rsid w:val="009D0E84"/>
    <w:rsid w:val="00A833E1"/>
    <w:rsid w:val="00AD1DCA"/>
    <w:rsid w:val="00AE1AF2"/>
    <w:rsid w:val="00B6699F"/>
    <w:rsid w:val="00BA48BB"/>
    <w:rsid w:val="00C45FB8"/>
    <w:rsid w:val="00C614C0"/>
    <w:rsid w:val="00C67909"/>
    <w:rsid w:val="00CB62E2"/>
    <w:rsid w:val="00CE3405"/>
    <w:rsid w:val="00D65217"/>
    <w:rsid w:val="00DA2D0D"/>
    <w:rsid w:val="00DB4A52"/>
    <w:rsid w:val="00DD5EBA"/>
    <w:rsid w:val="00EA2925"/>
    <w:rsid w:val="00EB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70D"/>
    <w:rPr>
      <w:sz w:val="16"/>
      <w:szCs w:val="16"/>
    </w:rPr>
  </w:style>
  <w:style w:type="paragraph" w:styleId="CommentText">
    <w:name w:val="annotation text"/>
    <w:basedOn w:val="Normal"/>
    <w:link w:val="CommentTextChar"/>
    <w:uiPriority w:val="99"/>
    <w:semiHidden/>
    <w:unhideWhenUsed/>
    <w:rsid w:val="0083270D"/>
    <w:pPr>
      <w:spacing w:line="240" w:lineRule="auto"/>
    </w:pPr>
    <w:rPr>
      <w:sz w:val="20"/>
      <w:szCs w:val="20"/>
    </w:rPr>
  </w:style>
  <w:style w:type="character" w:customStyle="1" w:styleId="CommentTextChar">
    <w:name w:val="Comment Text Char"/>
    <w:basedOn w:val="DefaultParagraphFont"/>
    <w:link w:val="CommentText"/>
    <w:uiPriority w:val="99"/>
    <w:semiHidden/>
    <w:rsid w:val="0083270D"/>
    <w:rPr>
      <w:sz w:val="20"/>
      <w:szCs w:val="20"/>
    </w:rPr>
  </w:style>
  <w:style w:type="paragraph" w:styleId="CommentSubject">
    <w:name w:val="annotation subject"/>
    <w:basedOn w:val="CommentText"/>
    <w:next w:val="CommentText"/>
    <w:link w:val="CommentSubjectChar"/>
    <w:uiPriority w:val="99"/>
    <w:semiHidden/>
    <w:unhideWhenUsed/>
    <w:rsid w:val="0083270D"/>
    <w:rPr>
      <w:b/>
      <w:bCs/>
    </w:rPr>
  </w:style>
  <w:style w:type="character" w:customStyle="1" w:styleId="CommentSubjectChar">
    <w:name w:val="Comment Subject Char"/>
    <w:basedOn w:val="CommentTextChar"/>
    <w:link w:val="CommentSubject"/>
    <w:uiPriority w:val="99"/>
    <w:semiHidden/>
    <w:rsid w:val="0083270D"/>
    <w:rPr>
      <w:b/>
      <w:bCs/>
      <w:sz w:val="20"/>
      <w:szCs w:val="20"/>
    </w:rPr>
  </w:style>
  <w:style w:type="paragraph" w:styleId="BalloonText">
    <w:name w:val="Balloon Text"/>
    <w:basedOn w:val="Normal"/>
    <w:link w:val="BalloonTextChar"/>
    <w:uiPriority w:val="99"/>
    <w:semiHidden/>
    <w:unhideWhenUsed/>
    <w:rsid w:val="00832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7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70D"/>
    <w:rPr>
      <w:sz w:val="16"/>
      <w:szCs w:val="16"/>
    </w:rPr>
  </w:style>
  <w:style w:type="paragraph" w:styleId="CommentText">
    <w:name w:val="annotation text"/>
    <w:basedOn w:val="Normal"/>
    <w:link w:val="CommentTextChar"/>
    <w:uiPriority w:val="99"/>
    <w:semiHidden/>
    <w:unhideWhenUsed/>
    <w:rsid w:val="0083270D"/>
    <w:pPr>
      <w:spacing w:line="240" w:lineRule="auto"/>
    </w:pPr>
    <w:rPr>
      <w:sz w:val="20"/>
      <w:szCs w:val="20"/>
    </w:rPr>
  </w:style>
  <w:style w:type="character" w:customStyle="1" w:styleId="CommentTextChar">
    <w:name w:val="Comment Text Char"/>
    <w:basedOn w:val="DefaultParagraphFont"/>
    <w:link w:val="CommentText"/>
    <w:uiPriority w:val="99"/>
    <w:semiHidden/>
    <w:rsid w:val="0083270D"/>
    <w:rPr>
      <w:sz w:val="20"/>
      <w:szCs w:val="20"/>
    </w:rPr>
  </w:style>
  <w:style w:type="paragraph" w:styleId="CommentSubject">
    <w:name w:val="annotation subject"/>
    <w:basedOn w:val="CommentText"/>
    <w:next w:val="CommentText"/>
    <w:link w:val="CommentSubjectChar"/>
    <w:uiPriority w:val="99"/>
    <w:semiHidden/>
    <w:unhideWhenUsed/>
    <w:rsid w:val="0083270D"/>
    <w:rPr>
      <w:b/>
      <w:bCs/>
    </w:rPr>
  </w:style>
  <w:style w:type="character" w:customStyle="1" w:styleId="CommentSubjectChar">
    <w:name w:val="Comment Subject Char"/>
    <w:basedOn w:val="CommentTextChar"/>
    <w:link w:val="CommentSubject"/>
    <w:uiPriority w:val="99"/>
    <w:semiHidden/>
    <w:rsid w:val="0083270D"/>
    <w:rPr>
      <w:b/>
      <w:bCs/>
      <w:sz w:val="20"/>
      <w:szCs w:val="20"/>
    </w:rPr>
  </w:style>
  <w:style w:type="paragraph" w:styleId="BalloonText">
    <w:name w:val="Balloon Text"/>
    <w:basedOn w:val="Normal"/>
    <w:link w:val="BalloonTextChar"/>
    <w:uiPriority w:val="99"/>
    <w:semiHidden/>
    <w:unhideWhenUsed/>
    <w:rsid w:val="00832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0C7E0-2870-4A8E-966A-112B0986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2018-04-02T09:39:00Z</dcterms:created>
  <dcterms:modified xsi:type="dcterms:W3CDTF">2018-04-02T09:39:00Z</dcterms:modified>
</cp:coreProperties>
</file>